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F434357" w14:textId="643DCE43" w:rsidR="00707CBE" w:rsidRPr="00707CBE" w:rsidRDefault="00707CBE" w:rsidP="00707CBE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707CB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Pompa infuzyjna</w:t>
      </w:r>
      <w:r w:rsidR="0089775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04143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–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44036D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28 </w:t>
      </w:r>
      <w:r w:rsidR="0004143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020B9EB" w:rsidR="005119F3" w:rsidRPr="004F4563" w:rsidRDefault="005119F3" w:rsidP="00F304E5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29746A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6EE37B2E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29746A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B0B72" w:rsidRPr="004F4563" w14:paraId="4B6CE31A" w14:textId="77777777" w:rsidTr="0029746A">
        <w:tc>
          <w:tcPr>
            <w:tcW w:w="851" w:type="dxa"/>
            <w:vAlign w:val="center"/>
          </w:tcPr>
          <w:p w14:paraId="6FDBD947" w14:textId="77777777" w:rsidR="005B0B72" w:rsidRPr="004F4563" w:rsidRDefault="005B0B72" w:rsidP="005B0B7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62A8CDBA" w:rsidR="005B0B72" w:rsidRPr="004F4563" w:rsidRDefault="005B0B72" w:rsidP="005B0B72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Pompa infuzyjna strzykawkowa do infuzji dożylnej lub podskórnej u pacjentów dorosłych, dzieci i noworodków w przerywanych lub ciągłych infuzjach płynów pozajelitowych, leków, krwi i preparatów krwiopochodnych.</w:t>
            </w:r>
          </w:p>
        </w:tc>
        <w:tc>
          <w:tcPr>
            <w:tcW w:w="1701" w:type="dxa"/>
            <w:vAlign w:val="center"/>
          </w:tcPr>
          <w:p w14:paraId="7D802F62" w14:textId="7E0A48D1" w:rsidR="005B0B72" w:rsidRPr="004F4563" w:rsidRDefault="005229A9" w:rsidP="005B0B7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B0B72" w:rsidRPr="004F4563" w:rsidRDefault="005B0B72" w:rsidP="005B0B7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9D30993" w14:textId="77777777" w:rsidTr="0029746A">
        <w:tc>
          <w:tcPr>
            <w:tcW w:w="851" w:type="dxa"/>
            <w:vAlign w:val="center"/>
          </w:tcPr>
          <w:p w14:paraId="35EDF7A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3546F" w14:textId="3331D39A" w:rsidR="005229A9" w:rsidRPr="00026529" w:rsidRDefault="005229A9" w:rsidP="005229A9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Pompa </w:t>
            </w:r>
            <w:r w:rsidR="001603E8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musi </w:t>
            </w: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umożliwi</w:t>
            </w:r>
            <w:r w:rsidR="001603E8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ać</w:t>
            </w: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ustawienie objętości, szybkości i czasu infuzji z wysoką dokładnością przepływu.</w:t>
            </w:r>
          </w:p>
        </w:tc>
        <w:tc>
          <w:tcPr>
            <w:tcW w:w="1701" w:type="dxa"/>
            <w:vAlign w:val="center"/>
          </w:tcPr>
          <w:p w14:paraId="030ADCBA" w14:textId="0181276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C27A1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340B15B" w14:textId="77777777" w:rsidTr="0029746A">
        <w:tc>
          <w:tcPr>
            <w:tcW w:w="851" w:type="dxa"/>
            <w:vAlign w:val="center"/>
          </w:tcPr>
          <w:p w14:paraId="5134E465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52ACBCF" w14:textId="00E94A3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Urządzenie przystosowane do zasilania z sieci elektrycznej o napięciu 100–240 V~ i częstotliwości 50–60 Hz, </w:t>
            </w:r>
          </w:p>
        </w:tc>
        <w:tc>
          <w:tcPr>
            <w:tcW w:w="1701" w:type="dxa"/>
            <w:vAlign w:val="center"/>
          </w:tcPr>
          <w:p w14:paraId="05D9AB3B" w14:textId="52D287FE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08949A3" w14:textId="77777777" w:rsidTr="0029746A">
        <w:tc>
          <w:tcPr>
            <w:tcW w:w="851" w:type="dxa"/>
            <w:vAlign w:val="center"/>
          </w:tcPr>
          <w:p w14:paraId="18027E1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AB3E73" w14:textId="13D0684E" w:rsidR="005229A9" w:rsidRPr="003C7535" w:rsidRDefault="005229A9" w:rsidP="005229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C7535">
              <w:rPr>
                <w:rFonts w:ascii="Calibri" w:hAnsi="Calibri" w:cs="Calibri"/>
                <w:color w:val="000000"/>
                <w:sz w:val="20"/>
                <w:szCs w:val="20"/>
              </w:rPr>
              <w:t>Wyposażona w wyświetlacz, intuicyjny interfejs użytkownika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tj. 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posiadający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 najmniej 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yraźne czcionki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tle ekranu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, kontrast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umożliwiający odczytywanie komunikatów 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>bez konieczności np. modyfikacji światła dziennego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, jednoznaczne ikony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, krótkie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jednoznaczne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komunikaty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np. ,,brak przepływu,, czy ,,sprawdź zacisk,,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Pr="003C7535">
              <w:rPr>
                <w:rFonts w:ascii="Calibri" w:hAnsi="Calibri" w:cs="Calibri"/>
                <w:color w:val="000000"/>
                <w:sz w:val="20"/>
                <w:szCs w:val="20"/>
              </w:rPr>
              <w:t>, funkcje alarmowe (np. zakończenie infuzji, okluzja, puste strzykawki), system wykrywania powietrza i zgodność z szeroką gamą strzykawek lub zestawów infuzyjnych.</w:t>
            </w:r>
          </w:p>
        </w:tc>
        <w:tc>
          <w:tcPr>
            <w:tcW w:w="1701" w:type="dxa"/>
            <w:vAlign w:val="center"/>
          </w:tcPr>
          <w:p w14:paraId="6E87874F" w14:textId="3A004831" w:rsidR="005229A9" w:rsidRPr="004F4563" w:rsidRDefault="00F304E5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05ED11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8F2CCF2" w14:textId="77777777" w:rsidTr="0029746A">
        <w:tc>
          <w:tcPr>
            <w:tcW w:w="851" w:type="dxa"/>
            <w:vAlign w:val="center"/>
          </w:tcPr>
          <w:p w14:paraId="7AACD6C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1F7E63C6" w:rsidR="005229A9" w:rsidRPr="004F4563" w:rsidRDefault="005229A9" w:rsidP="005229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Ochrona przed wilgocią wg EN 6060529 IP 32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lub równoważną</w:t>
            </w:r>
            <w:r w:rsidR="0029746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3A8DC7C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E349837" w14:textId="77777777" w:rsidTr="0029746A">
        <w:tc>
          <w:tcPr>
            <w:tcW w:w="851" w:type="dxa"/>
            <w:vAlign w:val="center"/>
          </w:tcPr>
          <w:p w14:paraId="39D15FD9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2A216320" w:rsidR="005229A9" w:rsidRPr="004F4563" w:rsidRDefault="005229A9" w:rsidP="0089775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Możliwość pracy w karetkach pogotowia z zastosowaniem</w:t>
            </w:r>
            <w:r w:rsidR="0029746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stacji dokującej</w:t>
            </w:r>
          </w:p>
        </w:tc>
        <w:tc>
          <w:tcPr>
            <w:tcW w:w="1701" w:type="dxa"/>
            <w:vAlign w:val="center"/>
          </w:tcPr>
          <w:p w14:paraId="1058B272" w14:textId="0C8DBD80" w:rsidR="005229A9" w:rsidRPr="004F4563" w:rsidRDefault="005229A9" w:rsidP="005229A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B886B17" w14:textId="77777777" w:rsidTr="0029746A">
        <w:tc>
          <w:tcPr>
            <w:tcW w:w="851" w:type="dxa"/>
            <w:vAlign w:val="center"/>
          </w:tcPr>
          <w:p w14:paraId="42C06AD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70E0E6B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Zasilanie pompy bezpośrednio z sieci za pomocą kabla, zasilacz wbudowany wewnątrz urządzenia</w:t>
            </w:r>
          </w:p>
        </w:tc>
        <w:tc>
          <w:tcPr>
            <w:tcW w:w="1701" w:type="dxa"/>
            <w:vAlign w:val="center"/>
          </w:tcPr>
          <w:p w14:paraId="62BA9549" w14:textId="34AB98C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B9F903D" w14:textId="77777777" w:rsidTr="0029746A">
        <w:tc>
          <w:tcPr>
            <w:tcW w:w="851" w:type="dxa"/>
            <w:vAlign w:val="center"/>
          </w:tcPr>
          <w:p w14:paraId="6B813F6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7F00D7C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Zasilanie z akumulatora wewnętrznego pow. 13 godz. przy przepływie 25 ml/godz.  </w:t>
            </w:r>
          </w:p>
        </w:tc>
        <w:tc>
          <w:tcPr>
            <w:tcW w:w="1701" w:type="dxa"/>
            <w:vAlign w:val="center"/>
          </w:tcPr>
          <w:p w14:paraId="1DB7EF8F" w14:textId="361052B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DC97090" w14:textId="77777777" w:rsidTr="0029746A">
        <w:tc>
          <w:tcPr>
            <w:tcW w:w="851" w:type="dxa"/>
            <w:vAlign w:val="center"/>
          </w:tcPr>
          <w:p w14:paraId="7C52F79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3CB49CC8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Czas ładowania baterii: pompa wyłączona ma</w:t>
            </w:r>
            <w:r w:rsidR="00B50A5C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 7 godz.</w:t>
            </w:r>
          </w:p>
        </w:tc>
        <w:tc>
          <w:tcPr>
            <w:tcW w:w="1701" w:type="dxa"/>
            <w:vAlign w:val="center"/>
          </w:tcPr>
          <w:p w14:paraId="4EF6969C" w14:textId="2B41590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167C63C" w14:textId="77777777" w:rsidTr="0029746A">
        <w:tc>
          <w:tcPr>
            <w:tcW w:w="851" w:type="dxa"/>
            <w:vAlign w:val="center"/>
          </w:tcPr>
          <w:p w14:paraId="628FD72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4A9D7CE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Bateria: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a) typ: litowo-jonowa, inteligentna,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napięcie: min. 7,0 V, pojemność: min. 2,5 Ah,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wyświetlanie na ekranie informacji o pozostałym czasie pracy oraz poziomie naładowania baterii,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d) czas pracy baterii (przy pełnym naładowaniu):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nie mniej niż 13 godzin przy przepływie 25 ml/h,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nie mniej niż 7 godzin przy przepływie 1200 ml/h,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e) czas ładowania: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przy wyłączonym urządzeniu: ma</w:t>
            </w:r>
            <w:r w:rsidR="00B50A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 7 godzin,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przy włączonym urządzeniu: ma</w:t>
            </w:r>
            <w:r w:rsidR="00B50A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 21 godzin.</w:t>
            </w:r>
          </w:p>
        </w:tc>
        <w:tc>
          <w:tcPr>
            <w:tcW w:w="1701" w:type="dxa"/>
            <w:vAlign w:val="center"/>
          </w:tcPr>
          <w:p w14:paraId="1205C97A" w14:textId="0501E7C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83217AF" w14:textId="77777777" w:rsidTr="0029746A">
        <w:tc>
          <w:tcPr>
            <w:tcW w:w="851" w:type="dxa"/>
            <w:vAlign w:val="center"/>
          </w:tcPr>
          <w:p w14:paraId="352CED2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0083130A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Lampka kontrolna zasilania oraz wskaźnik stanu naładowania akumulatora widoczne na płycie czołowej urządzenia.</w:t>
            </w:r>
          </w:p>
        </w:tc>
        <w:tc>
          <w:tcPr>
            <w:tcW w:w="1701" w:type="dxa"/>
            <w:vAlign w:val="center"/>
          </w:tcPr>
          <w:p w14:paraId="4DEB6567" w14:textId="352626B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21F55BD" w14:textId="77777777" w:rsidTr="0029746A">
        <w:tc>
          <w:tcPr>
            <w:tcW w:w="851" w:type="dxa"/>
            <w:vAlign w:val="center"/>
          </w:tcPr>
          <w:p w14:paraId="34C37A41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3F7E0CC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klawiaturę symboliczną</w:t>
            </w:r>
          </w:p>
        </w:tc>
        <w:tc>
          <w:tcPr>
            <w:tcW w:w="1701" w:type="dxa"/>
            <w:vAlign w:val="center"/>
          </w:tcPr>
          <w:p w14:paraId="0E58BAB3" w14:textId="13A74D3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A6EF615" w14:textId="77777777" w:rsidTr="0029746A">
        <w:tc>
          <w:tcPr>
            <w:tcW w:w="851" w:type="dxa"/>
            <w:vAlign w:val="center"/>
          </w:tcPr>
          <w:p w14:paraId="672927D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61BCCCD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Automatyczna blokada klawiatury;</w:t>
            </w:r>
          </w:p>
        </w:tc>
        <w:tc>
          <w:tcPr>
            <w:tcW w:w="1701" w:type="dxa"/>
            <w:vAlign w:val="center"/>
          </w:tcPr>
          <w:p w14:paraId="57593FE3" w14:textId="144AD71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FE71398" w14:textId="77777777" w:rsidTr="0029746A">
        <w:tc>
          <w:tcPr>
            <w:tcW w:w="851" w:type="dxa"/>
            <w:vAlign w:val="center"/>
          </w:tcPr>
          <w:p w14:paraId="3DE3739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230C23C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Blokada klawiatury z użyciem min. 4-ro cyfrowego kodu</w:t>
            </w:r>
          </w:p>
        </w:tc>
        <w:tc>
          <w:tcPr>
            <w:tcW w:w="1701" w:type="dxa"/>
            <w:vAlign w:val="center"/>
          </w:tcPr>
          <w:p w14:paraId="71068DD6" w14:textId="162A03C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D11BBD3" w14:textId="77777777" w:rsidTr="0029746A">
        <w:tc>
          <w:tcPr>
            <w:tcW w:w="851" w:type="dxa"/>
            <w:vAlign w:val="center"/>
          </w:tcPr>
          <w:p w14:paraId="0EE7965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23C5A64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min.  19 profili, pozwalających na wybranie konkretnej konfiguracji pompy i biblioteki leków, dodatkowo 1 profil podstawowy</w:t>
            </w:r>
          </w:p>
        </w:tc>
        <w:tc>
          <w:tcPr>
            <w:tcW w:w="1701" w:type="dxa"/>
            <w:vAlign w:val="center"/>
          </w:tcPr>
          <w:p w14:paraId="0DD13483" w14:textId="64DF46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910667" w14:textId="77777777" w:rsidTr="0029746A">
        <w:tc>
          <w:tcPr>
            <w:tcW w:w="851" w:type="dxa"/>
            <w:vAlign w:val="center"/>
          </w:tcPr>
          <w:p w14:paraId="0C5F88C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0886D2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Wszechstronny zacisk zainstalowany na stałe z pompą, pozwalający na zamontowanie na poręczy lub stojaku. </w:t>
            </w:r>
          </w:p>
        </w:tc>
        <w:tc>
          <w:tcPr>
            <w:tcW w:w="1701" w:type="dxa"/>
            <w:vAlign w:val="center"/>
          </w:tcPr>
          <w:p w14:paraId="6B467C41" w14:textId="649E983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E47505C" w14:textId="77777777" w:rsidTr="0029746A">
        <w:tc>
          <w:tcPr>
            <w:tcW w:w="851" w:type="dxa"/>
            <w:vAlign w:val="center"/>
          </w:tcPr>
          <w:p w14:paraId="48AF571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3CD01A9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Mocowanie strzykawki do czoła pompy, cała strzykawka stale widoczna podczas pracy pompy z pełną swobodą odczytania objętości ze skali strzykawki oraz możliwością wizualnej kontroli infuzji</w:t>
            </w:r>
          </w:p>
        </w:tc>
        <w:tc>
          <w:tcPr>
            <w:tcW w:w="1701" w:type="dxa"/>
            <w:vAlign w:val="center"/>
          </w:tcPr>
          <w:p w14:paraId="6AE37699" w14:textId="3342928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A16408" w14:textId="77777777" w:rsidTr="0029746A">
        <w:tc>
          <w:tcPr>
            <w:tcW w:w="851" w:type="dxa"/>
            <w:vAlign w:val="center"/>
          </w:tcPr>
          <w:p w14:paraId="50BA970B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1699710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Mocowanie strzykawki możliwe zarówno przy włączonej jak i wyłączonej pompie – system obsługiwany całkowicie manualnie</w:t>
            </w:r>
          </w:p>
        </w:tc>
        <w:tc>
          <w:tcPr>
            <w:tcW w:w="1701" w:type="dxa"/>
            <w:vAlign w:val="center"/>
          </w:tcPr>
          <w:p w14:paraId="644949C6" w14:textId="1BFB49D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BD83ED1" w14:textId="77777777" w:rsidTr="0029746A">
        <w:tc>
          <w:tcPr>
            <w:tcW w:w="851" w:type="dxa"/>
            <w:vAlign w:val="center"/>
          </w:tcPr>
          <w:p w14:paraId="3C87489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179195F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Osłona tłoka strzykawki uniemożliwiająca wciśnięcie tłoka strzykawki zamontowanej w pompie.</w:t>
            </w:r>
          </w:p>
        </w:tc>
        <w:tc>
          <w:tcPr>
            <w:tcW w:w="1701" w:type="dxa"/>
            <w:vAlign w:val="center"/>
          </w:tcPr>
          <w:p w14:paraId="037C550D" w14:textId="124D65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51A4127" w14:textId="77777777" w:rsidTr="0029746A">
        <w:tc>
          <w:tcPr>
            <w:tcW w:w="851" w:type="dxa"/>
            <w:vAlign w:val="center"/>
          </w:tcPr>
          <w:p w14:paraId="01EEA1F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4732498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Manualny tłok. Zabezpieczenie przed przypadkowym podaniem leku (bolusa) podczas zakładania lub wymiany strzykawki</w:t>
            </w:r>
          </w:p>
        </w:tc>
        <w:tc>
          <w:tcPr>
            <w:tcW w:w="1701" w:type="dxa"/>
            <w:vAlign w:val="center"/>
          </w:tcPr>
          <w:p w14:paraId="24AE8CD7" w14:textId="3E39AF2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F5C687B" w14:textId="77777777" w:rsidTr="0029746A">
        <w:tc>
          <w:tcPr>
            <w:tcW w:w="851" w:type="dxa"/>
            <w:vAlign w:val="center"/>
          </w:tcPr>
          <w:p w14:paraId="1B424EA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6F3C312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Pompa skalibrowana do pracy ze strzykawkami o objętości 5/6, 10/12, 20, 30/35 i 50/60 ml różnych typów oraz różnych producentów</w:t>
            </w:r>
          </w:p>
        </w:tc>
        <w:tc>
          <w:tcPr>
            <w:tcW w:w="1701" w:type="dxa"/>
            <w:vAlign w:val="center"/>
          </w:tcPr>
          <w:p w14:paraId="0656FDFF" w14:textId="4601B58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4FF6A7A" w14:textId="77777777" w:rsidTr="0029746A">
        <w:tc>
          <w:tcPr>
            <w:tcW w:w="851" w:type="dxa"/>
            <w:vAlign w:val="center"/>
          </w:tcPr>
          <w:p w14:paraId="1721435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21319D8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Automatyczna funkcja antybolus po okluzji – zabezpieczenie przed podaniem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lastRenderedPageBreak/>
              <w:t>niekontrolowanego bolusa po alarmie okluzji, ograniczenie bolusa ma</w:t>
            </w:r>
            <w:r w:rsidR="00B50A5C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0,35ml</w:t>
            </w:r>
          </w:p>
        </w:tc>
        <w:tc>
          <w:tcPr>
            <w:tcW w:w="1701" w:type="dxa"/>
            <w:vAlign w:val="center"/>
          </w:tcPr>
          <w:p w14:paraId="6876C5D3" w14:textId="4A9EAD2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E4D4749" w14:textId="77777777" w:rsidTr="0029746A">
        <w:tc>
          <w:tcPr>
            <w:tcW w:w="851" w:type="dxa"/>
            <w:vAlign w:val="center"/>
          </w:tcPr>
          <w:p w14:paraId="20919AA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421662C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Zakres szybkości infuzji od  0,1 do 1200 ml/godz.</w:t>
            </w:r>
          </w:p>
        </w:tc>
        <w:tc>
          <w:tcPr>
            <w:tcW w:w="1701" w:type="dxa"/>
            <w:vAlign w:val="center"/>
          </w:tcPr>
          <w:p w14:paraId="754A7539" w14:textId="44657D3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3DEC124" w14:textId="77777777" w:rsidTr="0029746A">
        <w:tc>
          <w:tcPr>
            <w:tcW w:w="851" w:type="dxa"/>
            <w:vAlign w:val="center"/>
          </w:tcPr>
          <w:p w14:paraId="75B4BDB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02B5365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Funkcja programowania infuzji: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a) co 0,01 w zakresie od 0,1 do 9,99 ml/ godz.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co 0,1 w zakresie od   10 do 99,9 ml/h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co 1 w zakresie 100-1200ml/h</w:t>
            </w:r>
          </w:p>
        </w:tc>
        <w:tc>
          <w:tcPr>
            <w:tcW w:w="1701" w:type="dxa"/>
            <w:vAlign w:val="center"/>
          </w:tcPr>
          <w:p w14:paraId="7CCD70FD" w14:textId="0481B53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EEC3C8B" w14:textId="77777777" w:rsidTr="0029746A">
        <w:tc>
          <w:tcPr>
            <w:tcW w:w="851" w:type="dxa"/>
            <w:vAlign w:val="center"/>
          </w:tcPr>
          <w:p w14:paraId="53A46881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6000722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Funkcja 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„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szybkiego startu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”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umożliwiająca skrócenie czasu opóźnienia rozpoczęcia terapii, jeśli funkcja napełniania pompy nie jest używana.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Przy tej funkcji infuzja rozpoczyna się z wysoką prędkością przepływu (120 mL/h) i trwa do momentu, gdy popychacz zaczyna przesuwać głowicę tłoka strzykawki - prędkość przepływu automatycznie przestawia się na zaprogramowaną wartość.</w:t>
            </w:r>
          </w:p>
        </w:tc>
        <w:tc>
          <w:tcPr>
            <w:tcW w:w="1701" w:type="dxa"/>
            <w:vAlign w:val="center"/>
          </w:tcPr>
          <w:p w14:paraId="6347B504" w14:textId="7F110F8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A89EE4A" w14:textId="77777777" w:rsidTr="0029746A">
        <w:tc>
          <w:tcPr>
            <w:tcW w:w="851" w:type="dxa"/>
            <w:vAlign w:val="center"/>
          </w:tcPr>
          <w:p w14:paraId="27DB89D9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3C42665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Dokładność szybkości przepływu co najmniej 3 %</w:t>
            </w:r>
          </w:p>
        </w:tc>
        <w:tc>
          <w:tcPr>
            <w:tcW w:w="1701" w:type="dxa"/>
            <w:vAlign w:val="center"/>
          </w:tcPr>
          <w:p w14:paraId="4992B7C4" w14:textId="4C8EDD5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D88577" w14:textId="77777777" w:rsidTr="0029746A">
        <w:tc>
          <w:tcPr>
            <w:tcW w:w="851" w:type="dxa"/>
            <w:vAlign w:val="center"/>
          </w:tcPr>
          <w:p w14:paraId="7887784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3EAB65B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Zmiana szybkości infuzji bez konieczności przerywania wlewu</w:t>
            </w:r>
          </w:p>
        </w:tc>
        <w:tc>
          <w:tcPr>
            <w:tcW w:w="1701" w:type="dxa"/>
            <w:vAlign w:val="center"/>
          </w:tcPr>
          <w:p w14:paraId="7C5E938A" w14:textId="1FCDCD70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68D2A09" w14:textId="77777777" w:rsidTr="0029746A">
        <w:tc>
          <w:tcPr>
            <w:tcW w:w="851" w:type="dxa"/>
            <w:vAlign w:val="center"/>
          </w:tcPr>
          <w:p w14:paraId="5C84F98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506AE94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Programowanie infuzji w jednostkach na minutę, godzinę, wagę i powierzchnię</w:t>
            </w:r>
          </w:p>
        </w:tc>
        <w:tc>
          <w:tcPr>
            <w:tcW w:w="1701" w:type="dxa"/>
            <w:vAlign w:val="center"/>
          </w:tcPr>
          <w:p w14:paraId="18CEE886" w14:textId="354F071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9D71091" w14:textId="77777777" w:rsidTr="0029746A">
        <w:tc>
          <w:tcPr>
            <w:tcW w:w="851" w:type="dxa"/>
            <w:vAlign w:val="center"/>
          </w:tcPr>
          <w:p w14:paraId="10925498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904B89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Dostępne opcje przeliczania - powierzchni ciała pacjenta w m² w zakresie od 0,05 m² do 4,5 m², minimalny przyrost 0,01m²  oraz wagi, w zakresie od 0,25 do 350 kg z dostępną regulacją co 10 gramów</w:t>
            </w:r>
          </w:p>
        </w:tc>
        <w:tc>
          <w:tcPr>
            <w:tcW w:w="1701" w:type="dxa"/>
            <w:vAlign w:val="center"/>
          </w:tcPr>
          <w:p w14:paraId="71CCA74F" w14:textId="33CF1F06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8A02D6" w14:textId="77777777" w:rsidTr="0029746A">
        <w:tc>
          <w:tcPr>
            <w:tcW w:w="851" w:type="dxa"/>
            <w:vAlign w:val="center"/>
          </w:tcPr>
          <w:p w14:paraId="3AA3424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B9CBEEE" w14:textId="54F15AD2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Funkcja podawania bolusa:</w:t>
            </w:r>
          </w:p>
          <w:p w14:paraId="4755B921" w14:textId="7DD20D52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a) na żądanie bez konieczności przerywania trwającej infuzji,</w:t>
            </w:r>
          </w:p>
          <w:p w14:paraId="3EAC0CD1" w14:textId="4575744C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b) co najmniej dwa tryby podania bolusa,</w:t>
            </w:r>
          </w:p>
          <w:p w14:paraId="243248BB" w14:textId="0CA993D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c) ręczne przesunięcie tłoka strzykawki z jednoczesnym zliczaniem i prezentacją podanej objętości na ekranie.</w:t>
            </w:r>
          </w:p>
        </w:tc>
        <w:tc>
          <w:tcPr>
            <w:tcW w:w="1701" w:type="dxa"/>
            <w:vAlign w:val="center"/>
          </w:tcPr>
          <w:p w14:paraId="381CE47B" w14:textId="2BE5E8B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8E0C404" w14:textId="77777777" w:rsidTr="0029746A">
        <w:tc>
          <w:tcPr>
            <w:tcW w:w="851" w:type="dxa"/>
            <w:vAlign w:val="center"/>
          </w:tcPr>
          <w:p w14:paraId="3B9B82F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7FC128C" w14:textId="35ABE5D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Bolus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• Bolus bezpośredni: od 50 do 1200 ml/h (co 50 ml/h)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• Bolus programowany i dawka nasycająca: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- Objętość: od 0,1 do 99,9 ml / 1 s - 24 h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- Dawka: od 0,01 do 9999 jednostek dawki / 1 s - 24 h</w:t>
            </w:r>
          </w:p>
        </w:tc>
        <w:tc>
          <w:tcPr>
            <w:tcW w:w="1701" w:type="dxa"/>
            <w:vAlign w:val="center"/>
          </w:tcPr>
          <w:p w14:paraId="7C60765F" w14:textId="2E1DB5E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7B728AF" w14:textId="77777777" w:rsidTr="0029746A">
        <w:tc>
          <w:tcPr>
            <w:tcW w:w="851" w:type="dxa"/>
            <w:vAlign w:val="center"/>
          </w:tcPr>
          <w:p w14:paraId="11CCACE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9D0030" w14:textId="77777777" w:rsidR="005229A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Dawka nasycająca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Dawka/czas: od 0,01 do 9999 jedn. / 1 sekundę – 24 h. </w:t>
            </w:r>
          </w:p>
          <w:p w14:paraId="74125037" w14:textId="081CE2D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Automatyczne obliczanie szybkości.</w:t>
            </w:r>
          </w:p>
        </w:tc>
        <w:tc>
          <w:tcPr>
            <w:tcW w:w="1701" w:type="dxa"/>
            <w:vAlign w:val="center"/>
          </w:tcPr>
          <w:p w14:paraId="7D9C4B8F" w14:textId="44D76D2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E458E3B" w14:textId="77777777" w:rsidTr="0029746A">
        <w:tc>
          <w:tcPr>
            <w:tcW w:w="851" w:type="dxa"/>
            <w:vAlign w:val="center"/>
          </w:tcPr>
          <w:p w14:paraId="18A0635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57363A4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Objętość do podania / dawka wlewu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Objętość: od 0,1 do 999 ml / Dawka: od 0,01 do 9999 jednostek dawki</w:t>
            </w:r>
          </w:p>
        </w:tc>
        <w:tc>
          <w:tcPr>
            <w:tcW w:w="1701" w:type="dxa"/>
            <w:vAlign w:val="center"/>
          </w:tcPr>
          <w:p w14:paraId="0F046EE3" w14:textId="17843B8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1A5B3D4" w14:textId="77777777" w:rsidTr="0029746A">
        <w:tc>
          <w:tcPr>
            <w:tcW w:w="851" w:type="dxa"/>
            <w:vAlign w:val="center"/>
          </w:tcPr>
          <w:p w14:paraId="1D6E301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566775A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Napełnianie: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3 tryby: obowiązkowy, nieobowiązkowy, zalecany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Szybkość przepływu: od 250 do 1200 ml/h, w zależności od pojemności strzykawki</w:t>
            </w:r>
          </w:p>
        </w:tc>
        <w:tc>
          <w:tcPr>
            <w:tcW w:w="1701" w:type="dxa"/>
            <w:vAlign w:val="center"/>
          </w:tcPr>
          <w:p w14:paraId="4C45609F" w14:textId="46EC7E4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97CE2F4" w14:textId="77777777" w:rsidTr="0029746A">
        <w:tc>
          <w:tcPr>
            <w:tcW w:w="851" w:type="dxa"/>
            <w:vAlign w:val="center"/>
          </w:tcPr>
          <w:p w14:paraId="6CF096B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7C04ACA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umożliwiające prowadzenie terapii infuzyjnej z wykorzystaniem różnych trybów pracy, w tym: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 xml:space="preserve">a) Tryb objętościowy: możliwość ustawienia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lastRenderedPageBreak/>
              <w:t>szybkości infuzji w jednostkach ml/h,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b) Tryb dawkowania z przeliczeniami jednostek masy/czasu, w tym co najmniej: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μg/min, mg/min, mUnit/min, Unit/min, mEq/min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ng/h, μg/h, mg/h, g/h, mmol/h, Unit/h, kcal/h, mEq/h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mg/24h, kcal/24h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ng/kg/h, μg/kg/h, mg/kg/h, g/kg/h, mUnit/kg/h, Unit/kg/h, mEq/kg/h, ml/kg/h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mg/m²/h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mg/kg/24h, g/kg/24h, mmol/kg/24h, ml/kg/24h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mg/m²/24h (inne jednostki możliwe zgodnie z protokołem leczniczym)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c) Możliwość ustawienia rozcieńczenia: w formacie jednostki/ml lub jednostki/objętość,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d) Możliwość prowadzenia infuzji z dawką nasycającą lub bez,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e) Tryb objętość/czas: możliwość zaprogramowania objętości od 0,1 do 99,9 ml oraz czasu infuzji w zakresie od 1 minuty do 96 godzin,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f) Tryb dawka/czas: możliwość zaprogramowania dawki w zakresie od 0,01 do 9999 jednostek oraz czasu infuzji od 1 minuty do 96 godzin,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g) Możliwość ustawienia limitu objętości: od 0,1 ml do co najmniej 999 ml.</w:t>
            </w:r>
          </w:p>
        </w:tc>
        <w:tc>
          <w:tcPr>
            <w:tcW w:w="1701" w:type="dxa"/>
            <w:vAlign w:val="center"/>
          </w:tcPr>
          <w:p w14:paraId="0B0EE6EA" w14:textId="79B4B07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5BD47E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E530094" w14:textId="77777777" w:rsidTr="0029746A">
        <w:tc>
          <w:tcPr>
            <w:tcW w:w="851" w:type="dxa"/>
            <w:vAlign w:val="center"/>
          </w:tcPr>
          <w:p w14:paraId="271B89A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3458E81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System antybolusowy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ograniczający podanie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leku w bolusie po otwarciu przewodu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≤0,35 ml maks. dla strzykawki 50 ml</w:t>
            </w:r>
          </w:p>
        </w:tc>
        <w:tc>
          <w:tcPr>
            <w:tcW w:w="1701" w:type="dxa"/>
            <w:vAlign w:val="center"/>
          </w:tcPr>
          <w:p w14:paraId="52FDEAE7" w14:textId="23E2ED8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7FE298A" w14:textId="77777777" w:rsidTr="0029746A">
        <w:tc>
          <w:tcPr>
            <w:tcW w:w="851" w:type="dxa"/>
            <w:vAlign w:val="center"/>
          </w:tcPr>
          <w:p w14:paraId="1149F76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101CD77C" w:rsidR="005229A9" w:rsidRPr="004F4563" w:rsidRDefault="00E816AA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E816A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system monitorowania zmian ciśnienia w linii infuzyjnej w czasie rzeczywistym, z funkcją ostrzegania o niepożądanych zmianach ciśnienia</w:t>
            </w:r>
          </w:p>
        </w:tc>
        <w:tc>
          <w:tcPr>
            <w:tcW w:w="1701" w:type="dxa"/>
            <w:vAlign w:val="center"/>
          </w:tcPr>
          <w:p w14:paraId="38CD9C31" w14:textId="53BEDFF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D3C8CAB" w14:textId="77777777" w:rsidTr="0029746A">
        <w:tc>
          <w:tcPr>
            <w:tcW w:w="851" w:type="dxa"/>
            <w:vAlign w:val="center"/>
          </w:tcPr>
          <w:p w14:paraId="2C8C5FB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6EA8C2DA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Tryby ciśnienia: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a) Praca w trybie zmiennym lub z wyborem trzech wcześniej zdefiniowanych poziomów ciśnienia, w zakresie od 50 do 900 mmHg, z regulacją co najmniej: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– co 25 mmHg w zakresie 50–250 mmHg,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– co 50 mmHg w zakresie 250–900 mmHg,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lub równoważną, ciągłą regulacją w zakresie 50–900 mmHg.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Pompa wyposażona w dynamiczny system monitorowania ciśnienia, 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trzegający o jego zmianach i potencjalnym ryzyku okluzji lub nieszczelności układu infuzyjnego</w:t>
            </w:r>
          </w:p>
        </w:tc>
        <w:tc>
          <w:tcPr>
            <w:tcW w:w="1701" w:type="dxa"/>
            <w:vAlign w:val="center"/>
          </w:tcPr>
          <w:p w14:paraId="68A1BABA" w14:textId="5CA28F4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EDE021C" w14:textId="77777777" w:rsidTr="0029746A">
        <w:tc>
          <w:tcPr>
            <w:tcW w:w="851" w:type="dxa"/>
            <w:vAlign w:val="center"/>
          </w:tcPr>
          <w:p w14:paraId="76ED7115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E18213A" w14:textId="283C40C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Ciągły pomiar ciśnienia w linii zobrazowany  w postaci piktogramu na ekranie pompy.</w:t>
            </w:r>
          </w:p>
        </w:tc>
        <w:tc>
          <w:tcPr>
            <w:tcW w:w="1701" w:type="dxa"/>
            <w:vAlign w:val="center"/>
          </w:tcPr>
          <w:p w14:paraId="4EBF6571" w14:textId="635F3F0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FEC81E4" w14:textId="77777777" w:rsidTr="0029746A">
        <w:tc>
          <w:tcPr>
            <w:tcW w:w="851" w:type="dxa"/>
            <w:vAlign w:val="center"/>
          </w:tcPr>
          <w:p w14:paraId="0603CDE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8D0940" w14:textId="4EBD7A4E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Poziom ciśnienia okluzji: </w:t>
            </w:r>
          </w:p>
          <w:p w14:paraId="7FA8AD9E" w14:textId="764BE660" w:rsidR="005229A9" w:rsidRPr="00026529" w:rsidRDefault="00F304E5" w:rsidP="005229A9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min. 22 poziomy,  </w:t>
            </w:r>
          </w:p>
          <w:p w14:paraId="5AFE052E" w14:textId="648D956A" w:rsidR="005229A9" w:rsidRPr="004F4563" w:rsidRDefault="00F304E5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min. 3 jednostki do wyboru – mmHg, kPa, PSI</w:t>
            </w:r>
          </w:p>
        </w:tc>
        <w:tc>
          <w:tcPr>
            <w:tcW w:w="1701" w:type="dxa"/>
            <w:vAlign w:val="center"/>
          </w:tcPr>
          <w:p w14:paraId="5E19AABF" w14:textId="5801DE2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D16662" w14:textId="77777777" w:rsidTr="0029746A">
        <w:tc>
          <w:tcPr>
            <w:tcW w:w="851" w:type="dxa"/>
            <w:vAlign w:val="center"/>
          </w:tcPr>
          <w:p w14:paraId="15A4B2F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0CEC25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Monochromatyczny, graficzny wyświetlacz LCD o wymiarach minimum 70 mm × 35 mm.</w:t>
            </w:r>
          </w:p>
        </w:tc>
        <w:tc>
          <w:tcPr>
            <w:tcW w:w="1701" w:type="dxa"/>
            <w:vAlign w:val="center"/>
          </w:tcPr>
          <w:p w14:paraId="73589C6A" w14:textId="5AB3C2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4A80A4" w14:textId="77777777" w:rsidTr="0029746A">
        <w:tc>
          <w:tcPr>
            <w:tcW w:w="851" w:type="dxa"/>
            <w:vAlign w:val="center"/>
          </w:tcPr>
          <w:p w14:paraId="4B518A2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57033B0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Rejestr mogący pomieścić  do 1500 zdarzeń</w:t>
            </w:r>
          </w:p>
        </w:tc>
        <w:tc>
          <w:tcPr>
            <w:tcW w:w="1701" w:type="dxa"/>
            <w:vAlign w:val="center"/>
          </w:tcPr>
          <w:p w14:paraId="2952AAF3" w14:textId="3D379889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B85DE93" w14:textId="77777777" w:rsidTr="0029746A">
        <w:tc>
          <w:tcPr>
            <w:tcW w:w="851" w:type="dxa"/>
            <w:vAlign w:val="center"/>
          </w:tcPr>
          <w:p w14:paraId="1435E22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FB91AC" w14:textId="77777777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Rejestr zdarzeń i historia pracy urządzenia:</w:t>
            </w:r>
          </w:p>
          <w:p w14:paraId="7232C6F0" w14:textId="2DC3E6B5" w:rsidR="005229A9" w:rsidRPr="004F4563" w:rsidRDefault="005229A9" w:rsidP="00F304E5">
            <w:pPr>
              <w:tabs>
                <w:tab w:val="left" w:pos="175"/>
              </w:tabs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a) Urządzenie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musi przechowywać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plik rejestru (historię podań, zdarzeń i interakcji operatora) w pamięci wewnętrznej przez minimum 10 lat od momentu zapisu, niezależnie od stanu zasilania lub pracy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b) Historia pracy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musi być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dostępna w formie graficznej na ekranie urządzenia 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 musi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obejm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ować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co najmniej następujące dane: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F304E5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objętość/dawkę infuzji,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F304E5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ciśnienie w układzie infuzyjnym,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szybkość przepływu leku,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Dane prezentowane w sposób umożliwiający ich analizę przez personel medyczny.</w:t>
            </w:r>
          </w:p>
        </w:tc>
        <w:tc>
          <w:tcPr>
            <w:tcW w:w="1701" w:type="dxa"/>
            <w:vAlign w:val="center"/>
          </w:tcPr>
          <w:p w14:paraId="2106E94A" w14:textId="18E382A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C19F8EC" w14:textId="77777777" w:rsidTr="0029746A">
        <w:tc>
          <w:tcPr>
            <w:tcW w:w="851" w:type="dxa"/>
            <w:vAlign w:val="center"/>
          </w:tcPr>
          <w:p w14:paraId="5760AB2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93CC64" w14:textId="57AA8668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Funkcja KVO - Zróżnicowana prędkość KVO z możliwością programowania szybkości od 0,1 do 5 ml/h</w:t>
            </w:r>
          </w:p>
        </w:tc>
        <w:tc>
          <w:tcPr>
            <w:tcW w:w="1701" w:type="dxa"/>
            <w:vAlign w:val="center"/>
          </w:tcPr>
          <w:p w14:paraId="6B14F982" w14:textId="6B192EE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EB4E09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DE38266" w14:textId="77777777" w:rsidTr="0029746A">
        <w:tc>
          <w:tcPr>
            <w:tcW w:w="851" w:type="dxa"/>
            <w:vAlign w:val="center"/>
          </w:tcPr>
          <w:p w14:paraId="2B6F425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4FC2F6" w14:textId="7D3B3CC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Sygnalizacja wahań ciśnienia w linii</w:t>
            </w:r>
          </w:p>
        </w:tc>
        <w:tc>
          <w:tcPr>
            <w:tcW w:w="1701" w:type="dxa"/>
            <w:vAlign w:val="center"/>
          </w:tcPr>
          <w:p w14:paraId="1CF757A6" w14:textId="4029C1D1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EA2D9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450174F" w14:textId="77777777" w:rsidTr="0029746A">
        <w:tc>
          <w:tcPr>
            <w:tcW w:w="851" w:type="dxa"/>
            <w:vAlign w:val="center"/>
          </w:tcPr>
          <w:p w14:paraId="2C0E51A8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C5F6243" w14:textId="64989E2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Funkcja – przerwa (standby) w zakresie od 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min do 24 godzin programowany co 1 minutę z funkcją automatycznego startu infuzji po zaprogramowanej przerwie</w:t>
            </w:r>
          </w:p>
        </w:tc>
        <w:tc>
          <w:tcPr>
            <w:tcW w:w="1701" w:type="dxa"/>
            <w:vAlign w:val="center"/>
          </w:tcPr>
          <w:p w14:paraId="32498214" w14:textId="1CFD3DAE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FF5A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C16D92E" w14:textId="77777777" w:rsidTr="0029746A">
        <w:tc>
          <w:tcPr>
            <w:tcW w:w="851" w:type="dxa"/>
            <w:vAlign w:val="center"/>
          </w:tcPr>
          <w:p w14:paraId="0F9AED0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849371" w14:textId="4DF806A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tryb dzienny i nocny z opcją przełączania między trybami ręcznie i automatycznie</w:t>
            </w:r>
          </w:p>
        </w:tc>
        <w:tc>
          <w:tcPr>
            <w:tcW w:w="1701" w:type="dxa"/>
            <w:vAlign w:val="center"/>
          </w:tcPr>
          <w:p w14:paraId="0A1924BB" w14:textId="3A33EC0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A2C2C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08E0A5A" w14:textId="77777777" w:rsidTr="0029746A">
        <w:tc>
          <w:tcPr>
            <w:tcW w:w="851" w:type="dxa"/>
            <w:vAlign w:val="center"/>
          </w:tcPr>
          <w:p w14:paraId="73969CD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0BD552" w14:textId="37086B6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Komunikaty tekstowe w języku polskim</w:t>
            </w:r>
          </w:p>
        </w:tc>
        <w:tc>
          <w:tcPr>
            <w:tcW w:w="1701" w:type="dxa"/>
            <w:vAlign w:val="center"/>
          </w:tcPr>
          <w:p w14:paraId="05039651" w14:textId="74F22AF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5AA47B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D71965C" w14:textId="77777777" w:rsidTr="0029746A">
        <w:tc>
          <w:tcPr>
            <w:tcW w:w="851" w:type="dxa"/>
            <w:vAlign w:val="center"/>
          </w:tcPr>
          <w:p w14:paraId="042FF4A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C8F82B" w14:textId="590C114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Wyświetlanie trendów objętości, szybkości infuzji oraz ciśnienia</w:t>
            </w:r>
          </w:p>
        </w:tc>
        <w:tc>
          <w:tcPr>
            <w:tcW w:w="1701" w:type="dxa"/>
            <w:vAlign w:val="center"/>
          </w:tcPr>
          <w:p w14:paraId="3EE55320" w14:textId="0966696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EB2D3B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54729FF" w14:textId="77777777" w:rsidTr="0029746A">
        <w:tc>
          <w:tcPr>
            <w:tcW w:w="851" w:type="dxa"/>
            <w:vAlign w:val="center"/>
          </w:tcPr>
          <w:p w14:paraId="79A210C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6A7576" w14:textId="3838D25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Urządzenie </w:t>
            </w:r>
            <w:r w:rsidR="0029746A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wyposażone w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funkcję pozwalającą na konfigurację ustawień oraz zawartości menu użytkownika w sposób dostosowany do jego potrzeb.</w:t>
            </w:r>
          </w:p>
        </w:tc>
        <w:tc>
          <w:tcPr>
            <w:tcW w:w="1701" w:type="dxa"/>
            <w:vAlign w:val="center"/>
          </w:tcPr>
          <w:p w14:paraId="642921AE" w14:textId="38E7101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FE0D0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4AB6589" w14:textId="77777777" w:rsidTr="0029746A">
        <w:tc>
          <w:tcPr>
            <w:tcW w:w="851" w:type="dxa"/>
            <w:vAlign w:val="center"/>
          </w:tcPr>
          <w:p w14:paraId="7623150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EA448C" w14:textId="1119EBC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Biblioteka leków, do 150 leków w min. 19 profilach wraz z protokołami infuzji (domyślne przepływy, dawki, prędkości bolusa, stężenia itp.)</w:t>
            </w:r>
          </w:p>
        </w:tc>
        <w:tc>
          <w:tcPr>
            <w:tcW w:w="1701" w:type="dxa"/>
            <w:vAlign w:val="center"/>
          </w:tcPr>
          <w:p w14:paraId="48547FB5" w14:textId="1361944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CB41C3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AD669B0" w14:textId="77777777" w:rsidTr="0029746A">
        <w:tc>
          <w:tcPr>
            <w:tcW w:w="851" w:type="dxa"/>
            <w:vAlign w:val="center"/>
          </w:tcPr>
          <w:p w14:paraId="4E6326D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CD5D96D" w14:textId="2A7631F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Sygnalizacja statusu pracy urządzenia: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a) Status pracy pompy sygnalizowany z wykorzystaniem wskaźników świetlnych w odrębnych kolorach, umożliwiających odróżnienie różnych stanów pracy: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zielony – trwająca infuzja,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pomarańczowy – alarmy o niskim i średnim priorytecie,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czerwony – alarmy o wysokim priorytecie;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wskaźniki świetlne widoczne z odległości co najmniej 4 metrów.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b) Wszystkie alarmy sygnalizowane są za pomocą wskaźników świetlnych, komunikatów tekstowych, piktogramów oraz sygnałów dźwiękowych.</w:t>
            </w:r>
          </w:p>
        </w:tc>
        <w:tc>
          <w:tcPr>
            <w:tcW w:w="1701" w:type="dxa"/>
            <w:vAlign w:val="center"/>
          </w:tcPr>
          <w:p w14:paraId="430303D6" w14:textId="21834C8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B70F6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710B336" w14:textId="77777777" w:rsidTr="0029746A">
        <w:tc>
          <w:tcPr>
            <w:tcW w:w="851" w:type="dxa"/>
            <w:vAlign w:val="center"/>
          </w:tcPr>
          <w:p w14:paraId="4EA1502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D8D4330" w14:textId="13689FD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System alarmowy – akustyczno-optyczny: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Urządzenie wyposażone w system alarmów i ostrzeżeń sygnalizowanych wizualnie i dźwiękowo, informujący użytkownika o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lastRenderedPageBreak/>
              <w:t>następujących stanach: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a) zakończenie infuzji / pusta strzykawka,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zatrzymana infuzja – przypomnienie,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wykrycie okluzji,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d) spadek ciśnienia / rozłączenie linii,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e) niski poziom naładowania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f) brak lub nieprawidłowo założona strzykawka,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g) otwarty uchwyt komory strzykawki,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h) usterka techniczna urządzenia,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i) zbliżające się rozładowanie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j) aktywna blokada klawiatury,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k) brak potwierdzenia rozpoczęcia infuzji,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l) zbliżający się koniec infuzji – z możliwością zaprogramowania progu czasowego ostrzeżenia w zakresie od 1 do 30 minut</w:t>
            </w:r>
          </w:p>
        </w:tc>
        <w:tc>
          <w:tcPr>
            <w:tcW w:w="1701" w:type="dxa"/>
            <w:vAlign w:val="center"/>
          </w:tcPr>
          <w:p w14:paraId="4F573971" w14:textId="451BA8D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04375F2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61CD6EB" w14:textId="77777777" w:rsidTr="0029746A">
        <w:tc>
          <w:tcPr>
            <w:tcW w:w="851" w:type="dxa"/>
            <w:vAlign w:val="center"/>
          </w:tcPr>
          <w:p w14:paraId="76B7E07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bottom"/>
          </w:tcPr>
          <w:p w14:paraId="072B9B90" w14:textId="2FC7AD6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Możliwość integracji pomp w moduły w sposób niewymagający dodatkowych zewnętrznych adapterów montażowych</w:t>
            </w:r>
          </w:p>
        </w:tc>
        <w:tc>
          <w:tcPr>
            <w:tcW w:w="1701" w:type="dxa"/>
            <w:vAlign w:val="center"/>
          </w:tcPr>
          <w:p w14:paraId="2EFBA4E0" w14:textId="512A0D9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6F0FCB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0FE1A9D1" w14:textId="77777777" w:rsidTr="0029746A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7C239C" w:rsidRPr="004F4563" w:rsidRDefault="007C239C" w:rsidP="007C239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7C239C" w:rsidRPr="004F4563" w:rsidRDefault="007C239C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63E9DF57" w14:textId="77777777" w:rsidTr="0029746A">
        <w:tc>
          <w:tcPr>
            <w:tcW w:w="851" w:type="dxa"/>
            <w:vAlign w:val="center"/>
          </w:tcPr>
          <w:p w14:paraId="5F3C74AA" w14:textId="77777777" w:rsidR="007C239C" w:rsidRPr="004F4563" w:rsidRDefault="007C239C" w:rsidP="007C239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7848BA05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Szkolenie </w:t>
            </w:r>
            <w:r w:rsidR="00F304E5">
              <w:rPr>
                <w:rFonts w:ascii="Calibri" w:hAnsi="Calibri" w:cs="Calibri"/>
                <w:sz w:val="18"/>
                <w:szCs w:val="18"/>
              </w:rPr>
              <w:t xml:space="preserve">przez </w:t>
            </w:r>
            <w:r>
              <w:rPr>
                <w:rFonts w:ascii="Calibri" w:hAnsi="Calibri" w:cs="Calibri"/>
                <w:sz w:val="18"/>
                <w:szCs w:val="18"/>
              </w:rPr>
              <w:t>min. 4 godziny</w:t>
            </w:r>
            <w:r w:rsidR="00F304E5">
              <w:rPr>
                <w:rFonts w:ascii="Calibri" w:hAnsi="Calibri" w:cs="Calibri"/>
                <w:sz w:val="18"/>
                <w:szCs w:val="18"/>
              </w:rPr>
              <w:t xml:space="preserve"> dla min.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4 os</w:t>
            </w:r>
            <w:r w:rsidR="00F304E5">
              <w:rPr>
                <w:rFonts w:ascii="Calibri" w:hAnsi="Calibri" w:cs="Calibri"/>
                <w:sz w:val="18"/>
                <w:szCs w:val="18"/>
              </w:rPr>
              <w:t>ób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261AE882" w:rsidR="007C239C" w:rsidRPr="004F4563" w:rsidRDefault="007871D1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19DD3279" w14:textId="77777777" w:rsidTr="0029746A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7C239C" w:rsidRPr="004F4563" w:rsidRDefault="007C239C" w:rsidP="007C239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7C239C" w:rsidRPr="004F4563" w:rsidRDefault="007C239C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403CF33C" w14:textId="77777777" w:rsidTr="0029746A">
        <w:tc>
          <w:tcPr>
            <w:tcW w:w="851" w:type="dxa"/>
            <w:vAlign w:val="center"/>
          </w:tcPr>
          <w:p w14:paraId="55E6020E" w14:textId="77777777" w:rsidR="007C239C" w:rsidRPr="004F4563" w:rsidRDefault="007C239C" w:rsidP="007C239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3FA0FA46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="007871D1">
              <w:rPr>
                <w:rFonts w:ascii="Calibri" w:hAnsi="Calibri" w:cs="Calibri"/>
                <w:sz w:val="18"/>
                <w:szCs w:val="18"/>
              </w:rPr>
              <w:t>36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7871D1">
              <w:rPr>
                <w:rFonts w:ascii="Calibri" w:hAnsi="Calibri" w:cs="Calibri"/>
                <w:sz w:val="18"/>
                <w:szCs w:val="18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17DBE236" w:rsidR="007C239C" w:rsidRPr="004F4563" w:rsidRDefault="007871D1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1F38" w14:textId="77777777" w:rsidR="00DE2AD9" w:rsidRDefault="00DE2AD9" w:rsidP="0067003B">
      <w:pPr>
        <w:spacing w:line="240" w:lineRule="auto"/>
      </w:pPr>
      <w:r>
        <w:separator/>
      </w:r>
    </w:p>
  </w:endnote>
  <w:endnote w:type="continuationSeparator" w:id="0">
    <w:p w14:paraId="4BE5CA3F" w14:textId="77777777" w:rsidR="00DE2AD9" w:rsidRDefault="00DE2AD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C355" w14:textId="77777777" w:rsidR="00DE2AD9" w:rsidRDefault="00DE2AD9" w:rsidP="0067003B">
      <w:pPr>
        <w:spacing w:line="240" w:lineRule="auto"/>
      </w:pPr>
      <w:r>
        <w:separator/>
      </w:r>
    </w:p>
  </w:footnote>
  <w:footnote w:type="continuationSeparator" w:id="0">
    <w:p w14:paraId="2F34B9FC" w14:textId="77777777" w:rsidR="00DE2AD9" w:rsidRDefault="00DE2AD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BEBF" w14:textId="4364C630" w:rsidR="00E816AA" w:rsidRDefault="00E816AA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07224">
      <w:rPr>
        <w:noProof/>
      </w:rPr>
      <w:drawing>
        <wp:inline distT="0" distB="0" distL="0" distR="0" wp14:anchorId="54186719" wp14:editId="40FCF58C">
          <wp:extent cx="5743575" cy="590550"/>
          <wp:effectExtent l="0" t="0" r="9525" b="0"/>
          <wp:docPr id="16911383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E6884DC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E816AA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E816AA">
      <w:rPr>
        <w:rFonts w:ascii="Calibri" w:hAnsi="Calibri" w:cs="Calibri"/>
        <w:sz w:val="16"/>
        <w:szCs w:val="16"/>
      </w:rPr>
      <w:t>4</w:t>
    </w:r>
    <w:r w:rsidR="0044036D">
      <w:rPr>
        <w:rFonts w:ascii="Calibri" w:hAnsi="Calibri" w:cs="Calibri"/>
        <w:sz w:val="16"/>
        <w:szCs w:val="16"/>
      </w:rPr>
      <w:t>8</w:t>
    </w:r>
    <w:r w:rsidR="00E816AA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1438"/>
    <w:rsid w:val="00051DE4"/>
    <w:rsid w:val="00053654"/>
    <w:rsid w:val="000C0714"/>
    <w:rsid w:val="000D452D"/>
    <w:rsid w:val="000E1F85"/>
    <w:rsid w:val="00101EA0"/>
    <w:rsid w:val="001269C4"/>
    <w:rsid w:val="00141AED"/>
    <w:rsid w:val="001603E8"/>
    <w:rsid w:val="00165663"/>
    <w:rsid w:val="0016606D"/>
    <w:rsid w:val="001750BF"/>
    <w:rsid w:val="001D43B1"/>
    <w:rsid w:val="001D5E90"/>
    <w:rsid w:val="00203D42"/>
    <w:rsid w:val="0023501F"/>
    <w:rsid w:val="002560B4"/>
    <w:rsid w:val="00256106"/>
    <w:rsid w:val="002950BD"/>
    <w:rsid w:val="0029746A"/>
    <w:rsid w:val="00297EC9"/>
    <w:rsid w:val="002A525A"/>
    <w:rsid w:val="002B14AA"/>
    <w:rsid w:val="002C52B5"/>
    <w:rsid w:val="002F53A5"/>
    <w:rsid w:val="00315410"/>
    <w:rsid w:val="00320C0D"/>
    <w:rsid w:val="003316C1"/>
    <w:rsid w:val="00391526"/>
    <w:rsid w:val="003961FE"/>
    <w:rsid w:val="003A4FE2"/>
    <w:rsid w:val="003A7B01"/>
    <w:rsid w:val="003C7535"/>
    <w:rsid w:val="003D3036"/>
    <w:rsid w:val="004046C5"/>
    <w:rsid w:val="00415DCC"/>
    <w:rsid w:val="00416B5B"/>
    <w:rsid w:val="00423A29"/>
    <w:rsid w:val="0044036D"/>
    <w:rsid w:val="004510E8"/>
    <w:rsid w:val="00496BED"/>
    <w:rsid w:val="004B7376"/>
    <w:rsid w:val="004D4397"/>
    <w:rsid w:val="004D6D42"/>
    <w:rsid w:val="004F4563"/>
    <w:rsid w:val="00505D90"/>
    <w:rsid w:val="005119F3"/>
    <w:rsid w:val="005229A9"/>
    <w:rsid w:val="00525EDA"/>
    <w:rsid w:val="00532D55"/>
    <w:rsid w:val="005340B5"/>
    <w:rsid w:val="00547308"/>
    <w:rsid w:val="005B0B72"/>
    <w:rsid w:val="005C42D5"/>
    <w:rsid w:val="00603CA0"/>
    <w:rsid w:val="00614642"/>
    <w:rsid w:val="00630726"/>
    <w:rsid w:val="00652DFC"/>
    <w:rsid w:val="0067003B"/>
    <w:rsid w:val="00673F17"/>
    <w:rsid w:val="0067423F"/>
    <w:rsid w:val="00682779"/>
    <w:rsid w:val="006B0182"/>
    <w:rsid w:val="006C6ED7"/>
    <w:rsid w:val="006E19E2"/>
    <w:rsid w:val="00705F4F"/>
    <w:rsid w:val="00707CBE"/>
    <w:rsid w:val="00737F5F"/>
    <w:rsid w:val="0076322A"/>
    <w:rsid w:val="00772182"/>
    <w:rsid w:val="00777261"/>
    <w:rsid w:val="007871D1"/>
    <w:rsid w:val="00790FB2"/>
    <w:rsid w:val="007A4827"/>
    <w:rsid w:val="007A604B"/>
    <w:rsid w:val="007A63B5"/>
    <w:rsid w:val="007C239C"/>
    <w:rsid w:val="00832F19"/>
    <w:rsid w:val="00834BF7"/>
    <w:rsid w:val="00855516"/>
    <w:rsid w:val="00897758"/>
    <w:rsid w:val="008B026F"/>
    <w:rsid w:val="008B08AC"/>
    <w:rsid w:val="008B4FA0"/>
    <w:rsid w:val="008C3F43"/>
    <w:rsid w:val="008E3901"/>
    <w:rsid w:val="00924F73"/>
    <w:rsid w:val="00931393"/>
    <w:rsid w:val="00950069"/>
    <w:rsid w:val="00953FF0"/>
    <w:rsid w:val="00966D03"/>
    <w:rsid w:val="00982B29"/>
    <w:rsid w:val="00982FAE"/>
    <w:rsid w:val="009860E4"/>
    <w:rsid w:val="009930E0"/>
    <w:rsid w:val="009C10D5"/>
    <w:rsid w:val="009D6A05"/>
    <w:rsid w:val="00A618C3"/>
    <w:rsid w:val="00A878BA"/>
    <w:rsid w:val="00AA2E6E"/>
    <w:rsid w:val="00AB7145"/>
    <w:rsid w:val="00AD7C98"/>
    <w:rsid w:val="00B10AB9"/>
    <w:rsid w:val="00B265ED"/>
    <w:rsid w:val="00B34E57"/>
    <w:rsid w:val="00B43994"/>
    <w:rsid w:val="00B50A5C"/>
    <w:rsid w:val="00B56D2A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823CB"/>
    <w:rsid w:val="00D82B8C"/>
    <w:rsid w:val="00DE2AD9"/>
    <w:rsid w:val="00DE47E2"/>
    <w:rsid w:val="00E153CC"/>
    <w:rsid w:val="00E816AA"/>
    <w:rsid w:val="00EA2265"/>
    <w:rsid w:val="00ED21FE"/>
    <w:rsid w:val="00EE6B0D"/>
    <w:rsid w:val="00EF7DD5"/>
    <w:rsid w:val="00F27E1D"/>
    <w:rsid w:val="00F304E5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FE16249811447BEF7FAEBAA1DA04C" ma:contentTypeVersion="10" ma:contentTypeDescription="Utwórz nowy dokument." ma:contentTypeScope="" ma:versionID="5da9cf31269c35d0d4e04ab72c932f86">
  <xsd:schema xmlns:xsd="http://www.w3.org/2001/XMLSchema" xmlns:xs="http://www.w3.org/2001/XMLSchema" xmlns:p="http://schemas.microsoft.com/office/2006/metadata/properties" xmlns:ns3="68afe539-39bc-49a4-89a4-b884955233cc" targetNamespace="http://schemas.microsoft.com/office/2006/metadata/properties" ma:root="true" ma:fieldsID="4636a6c192ec833a71125c4e918823a0" ns3:_="">
    <xsd:import namespace="68afe539-39bc-49a4-89a4-b884955233c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fe539-39bc-49a4-89a4-b884955233c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afe539-39bc-49a4-89a4-b884955233cc" xsi:nil="true"/>
  </documentManagement>
</p:properties>
</file>

<file path=customXml/itemProps1.xml><?xml version="1.0" encoding="utf-8"?>
<ds:datastoreItem xmlns:ds="http://schemas.openxmlformats.org/officeDocument/2006/customXml" ds:itemID="{486A1909-93E7-43F1-911D-A2F467C05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afe539-39bc-49a4-89a4-b88495523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68afe539-39bc-49a4-89a4-b88495523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2026-02-13T13:39:00Z</dcterms:created>
  <dcterms:modified xsi:type="dcterms:W3CDTF">2026-02-13T13:52:00Z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0x010100EC1FE16249811447BEF7FAEBAA1DA04C</vt:lpwstr>
  </property>
  <property fmtid="{D5CDD505-2E9C-101B-9397-08002B2CF9AE}" pid="3" name="MediaServiceImageTags">
    <vt:lpwstr/>
  </property>
</Properties>
</file>